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C940" w14:textId="77777777" w:rsidR="00C72688" w:rsidRDefault="00C72688" w:rsidP="00C72688">
      <w:pPr>
        <w:jc w:val="center"/>
        <w:rPr>
          <w:rFonts w:ascii="Calibri" w:hAnsi="Calibri" w:cs="Calibri"/>
          <w:b/>
          <w:bCs/>
          <w:sz w:val="28"/>
          <w:szCs w:val="28"/>
        </w:rPr>
      </w:pPr>
    </w:p>
    <w:p w14:paraId="1A43A206" w14:textId="24FD2FC8" w:rsidR="00C72688" w:rsidRDefault="00C72688" w:rsidP="00C72688">
      <w:pPr>
        <w:jc w:val="center"/>
        <w:rPr>
          <w:rFonts w:ascii="Calibri" w:hAnsi="Calibri" w:cs="Calibri"/>
          <w:b/>
          <w:bCs/>
          <w:sz w:val="28"/>
          <w:szCs w:val="28"/>
        </w:rPr>
      </w:pPr>
      <w:r w:rsidRPr="00C72688">
        <w:rPr>
          <w:rFonts w:ascii="Calibri" w:hAnsi="Calibri" w:cs="Calibri"/>
          <w:b/>
          <w:bCs/>
          <w:sz w:val="28"/>
          <w:szCs w:val="28"/>
        </w:rPr>
        <w:t>Obligatorní náležitosti smluvního výzkumu v oblasti biomedicíny</w:t>
      </w:r>
    </w:p>
    <w:p w14:paraId="607ED5AB" w14:textId="77777777" w:rsidR="00256884" w:rsidRDefault="00256884" w:rsidP="00C72688">
      <w:pPr>
        <w:jc w:val="center"/>
        <w:rPr>
          <w:rFonts w:ascii="Calibri" w:hAnsi="Calibri" w:cs="Calibri"/>
          <w:b/>
          <w:bCs/>
          <w:sz w:val="28"/>
          <w:szCs w:val="28"/>
        </w:rPr>
      </w:pPr>
    </w:p>
    <w:p w14:paraId="741638E5" w14:textId="77777777" w:rsidR="00687F43" w:rsidRPr="00256884" w:rsidRDefault="00687F43" w:rsidP="00687F43">
      <w:pPr>
        <w:pStyle w:val="Odstavecseseznamem"/>
        <w:numPr>
          <w:ilvl w:val="0"/>
          <w:numId w:val="7"/>
        </w:numPr>
        <w:spacing w:before="240" w:after="120"/>
        <w:ind w:left="357" w:hanging="215"/>
        <w:contextualSpacing w:val="0"/>
        <w:jc w:val="both"/>
        <w:outlineLvl w:val="0"/>
        <w:rPr>
          <w:rFonts w:asciiTheme="minorHAnsi" w:hAnsiTheme="minorHAnsi" w:cstheme="minorHAnsi"/>
          <w:b/>
          <w:bCs/>
          <w:sz w:val="22"/>
          <w:szCs w:val="22"/>
        </w:rPr>
      </w:pPr>
      <w:r w:rsidRPr="00256884">
        <w:rPr>
          <w:rFonts w:asciiTheme="minorHAnsi" w:hAnsiTheme="minorHAnsi" w:cstheme="minorHAnsi"/>
          <w:b/>
          <w:bCs/>
          <w:sz w:val="22"/>
          <w:szCs w:val="22"/>
        </w:rPr>
        <w:t>Uvozující ustanovení</w:t>
      </w:r>
    </w:p>
    <w:p w14:paraId="139194B7" w14:textId="77777777" w:rsidR="00687F43" w:rsidRPr="00256884" w:rsidRDefault="00687F43" w:rsidP="00687F43">
      <w:pPr>
        <w:pStyle w:val="Odstavecseseznamem"/>
        <w:numPr>
          <w:ilvl w:val="0"/>
          <w:numId w:val="5"/>
        </w:numPr>
        <w:spacing w:after="120"/>
        <w:ind w:left="714" w:hanging="357"/>
        <w:contextualSpacing w:val="0"/>
        <w:jc w:val="both"/>
        <w:outlineLvl w:val="0"/>
        <w:rPr>
          <w:rFonts w:asciiTheme="minorHAnsi" w:hAnsiTheme="minorHAnsi" w:cstheme="minorHAnsi"/>
          <w:sz w:val="22"/>
          <w:szCs w:val="22"/>
        </w:rPr>
      </w:pPr>
      <w:r w:rsidRPr="00256884">
        <w:rPr>
          <w:rFonts w:asciiTheme="minorHAnsi" w:hAnsiTheme="minorHAnsi" w:cstheme="minorHAnsi"/>
          <w:sz w:val="22"/>
          <w:szCs w:val="22"/>
        </w:rPr>
        <w:t xml:space="preserve">Působnost těchto náležitostí smluvního výzkumu: Obligatorní náležitosti smluvního výzkumu (dále jen „Náležitosti“) musí být aplikovány v případě, že bude prováděn smluvní výzkum v oblasti biomedicíny, kterého se jako jedna ze smluvních stran bude účastnit Vysoká škola báňská – Technická univerzita Ostrava, Fakulta elektrotechniky a informatiky (dále jen „FEI“). O smluvní výzkum se bude jednat vždy, když je výzkum realizován na základě smlouvy uzavřené s jednou nebo více stranami. O smluvní výzkum se tedy bude jednat i v případě, že se nejedná o hospodářskou (doplňkovou) činnost fakulty, ale například i o výzkum finančně podpořen státem a/nebo mezinárodní organizací, rovněž jako o výzkum, který budou smluvní strany financovat ze svých vlastních prostředků na základě smlouvy. </w:t>
      </w:r>
    </w:p>
    <w:p w14:paraId="5302FD22" w14:textId="77777777" w:rsidR="00687F43" w:rsidRPr="00256884" w:rsidRDefault="00687F43" w:rsidP="00687F43">
      <w:pPr>
        <w:pStyle w:val="Odstavecseseznamem"/>
        <w:numPr>
          <w:ilvl w:val="0"/>
          <w:numId w:val="5"/>
        </w:numPr>
        <w:spacing w:after="120"/>
        <w:ind w:left="714" w:hanging="357"/>
        <w:contextualSpacing w:val="0"/>
        <w:jc w:val="both"/>
        <w:outlineLvl w:val="0"/>
        <w:rPr>
          <w:rFonts w:asciiTheme="minorHAnsi" w:hAnsiTheme="minorHAnsi" w:cstheme="minorHAnsi"/>
          <w:sz w:val="22"/>
          <w:szCs w:val="22"/>
        </w:rPr>
      </w:pPr>
      <w:r w:rsidRPr="00256884">
        <w:rPr>
          <w:rFonts w:asciiTheme="minorHAnsi" w:hAnsiTheme="minorHAnsi" w:cstheme="minorHAnsi"/>
          <w:sz w:val="22"/>
          <w:szCs w:val="22"/>
        </w:rPr>
        <w:t xml:space="preserve">V případech popsaných v předchozím odstavci jsou pro pracovníky FEI tyto Náležitosti závazné a musí se jimi řídit. Pro vyloučení pochybností, je bez rozdílu, zda je smluvní výzkum realizován v prostorách FEI či mimo ně. Se samotnými Náležitostmi musí být seznámena i druhá smluvní strana (či všechny smluvní strany, pokud jich je víc) a Náležitosti je doporučeno vhodným způsobem začlenit do smluvní dokumentace vztahující se ke smluvnímu výzkumu (dále jen „Smlouva“), a to například ve formě přílohy Smlouvy. </w:t>
      </w:r>
    </w:p>
    <w:p w14:paraId="34B5D439" w14:textId="77777777" w:rsidR="00687F43" w:rsidRPr="00256884" w:rsidRDefault="00687F43" w:rsidP="00687F43">
      <w:pPr>
        <w:pStyle w:val="Odstavecseseznamem"/>
        <w:numPr>
          <w:ilvl w:val="0"/>
          <w:numId w:val="5"/>
        </w:numPr>
        <w:spacing w:after="120"/>
        <w:ind w:left="714" w:hanging="357"/>
        <w:contextualSpacing w:val="0"/>
        <w:jc w:val="both"/>
        <w:outlineLvl w:val="0"/>
        <w:rPr>
          <w:rFonts w:asciiTheme="minorHAnsi" w:hAnsiTheme="minorHAnsi" w:cstheme="minorHAnsi"/>
          <w:sz w:val="22"/>
          <w:szCs w:val="22"/>
        </w:rPr>
      </w:pPr>
      <w:r w:rsidRPr="00256884">
        <w:rPr>
          <w:rFonts w:asciiTheme="minorHAnsi" w:hAnsiTheme="minorHAnsi" w:cstheme="minorHAnsi"/>
          <w:sz w:val="22"/>
          <w:szCs w:val="22"/>
        </w:rPr>
        <w:t xml:space="preserve">I v případě, že Náležitosti nebudou smluvně zavazovat druhou smluvní stranu (či více smluvních stran), pracovníci FEI se jimi musí řídit. Pokud by to tedy znamenalo, že pracovníci FEI budou provádět samotnou výzkumnou činnost, musí postupovat podle Náležitostí. Náležitosti tedy budou nepřímo účinné i pro druhou smluvní stranu a doporučuje se, aby smluvní strany spolupracovaly na tom, aby Náležitosti byly řádně plněny a výzkum tak byl přichystán v souladu s Náležitostmi. </w:t>
      </w:r>
    </w:p>
    <w:p w14:paraId="7F7BF3A1" w14:textId="5BF1F41B" w:rsidR="00256884" w:rsidRPr="00256884" w:rsidRDefault="00687F43" w:rsidP="00256884">
      <w:pPr>
        <w:pStyle w:val="Odstavecseseznamem"/>
        <w:numPr>
          <w:ilvl w:val="0"/>
          <w:numId w:val="5"/>
        </w:numPr>
        <w:spacing w:after="160" w:line="259" w:lineRule="auto"/>
        <w:ind w:left="714" w:hanging="357"/>
        <w:contextualSpacing w:val="0"/>
        <w:jc w:val="both"/>
        <w:outlineLvl w:val="0"/>
        <w:rPr>
          <w:rFonts w:asciiTheme="minorHAnsi" w:hAnsiTheme="minorHAnsi" w:cstheme="minorHAnsi"/>
          <w:b/>
          <w:bCs/>
          <w:sz w:val="22"/>
          <w:szCs w:val="22"/>
        </w:rPr>
      </w:pPr>
      <w:r w:rsidRPr="00256884">
        <w:rPr>
          <w:rFonts w:asciiTheme="minorHAnsi" w:hAnsiTheme="minorHAnsi" w:cstheme="minorHAnsi"/>
          <w:sz w:val="22"/>
          <w:szCs w:val="22"/>
        </w:rPr>
        <w:t xml:space="preserve">Smyslem Náležitostí je zajistit, aby smluvní výzkum v oblasti biomedicíny realizovaný FEI byl v souladu se všemi účinnými právními předpisy a aby v jeho rámci byly dodrženy současné etické a humánní standardy. </w:t>
      </w:r>
    </w:p>
    <w:p w14:paraId="6A6B5B83" w14:textId="6EF31BBC" w:rsidR="00687F43" w:rsidRPr="00256884" w:rsidRDefault="00687F43" w:rsidP="00687F43">
      <w:pPr>
        <w:pStyle w:val="Odstavecseseznamem"/>
        <w:numPr>
          <w:ilvl w:val="0"/>
          <w:numId w:val="7"/>
        </w:numPr>
        <w:spacing w:before="240" w:after="120"/>
        <w:ind w:left="357" w:hanging="215"/>
        <w:contextualSpacing w:val="0"/>
        <w:jc w:val="both"/>
        <w:outlineLvl w:val="0"/>
        <w:rPr>
          <w:rFonts w:asciiTheme="minorHAnsi" w:hAnsiTheme="minorHAnsi" w:cstheme="minorHAnsi"/>
          <w:b/>
          <w:bCs/>
          <w:sz w:val="22"/>
          <w:szCs w:val="22"/>
        </w:rPr>
      </w:pPr>
      <w:r w:rsidRPr="00256884">
        <w:rPr>
          <w:rFonts w:asciiTheme="minorHAnsi" w:hAnsiTheme="minorHAnsi" w:cstheme="minorHAnsi"/>
          <w:b/>
          <w:bCs/>
          <w:sz w:val="22"/>
          <w:szCs w:val="22"/>
        </w:rPr>
        <w:t>Povinnosti vztahující se ke smluvnímu výzkumu</w:t>
      </w:r>
    </w:p>
    <w:p w14:paraId="2C948FCF" w14:textId="034374D6" w:rsidR="00C72688" w:rsidRPr="00256884" w:rsidRDefault="00687F43" w:rsidP="00256884">
      <w:pPr>
        <w:pStyle w:val="Odstavecseseznamem"/>
        <w:numPr>
          <w:ilvl w:val="0"/>
          <w:numId w:val="8"/>
        </w:numPr>
        <w:spacing w:after="160" w:line="259" w:lineRule="auto"/>
        <w:contextualSpacing w:val="0"/>
        <w:jc w:val="both"/>
        <w:outlineLvl w:val="0"/>
        <w:rPr>
          <w:rFonts w:asciiTheme="minorHAnsi" w:hAnsiTheme="minorHAnsi" w:cstheme="minorHAnsi"/>
          <w:sz w:val="22"/>
          <w:szCs w:val="22"/>
        </w:rPr>
      </w:pPr>
      <w:r w:rsidRPr="00256884">
        <w:rPr>
          <w:rFonts w:asciiTheme="minorHAnsi" w:hAnsiTheme="minorHAnsi" w:cstheme="minorHAnsi"/>
          <w:sz w:val="22"/>
          <w:szCs w:val="22"/>
        </w:rPr>
        <w:t xml:space="preserve">Mimo povinnosti vyplývající z platné legislativy, interních předpisů a Smlouvy, je pracovník FEI povinen postupovat rovněž podle „Řádu Etické komise pro biomedicínský výzkum na Fakultě elektrotechniky a informatiky VŠB-TUO“ (FEI_LEG_23_01). Smlouva (případně její příloha) musí z toho důvodu obsahovat následující: </w:t>
      </w:r>
    </w:p>
    <w:p w14:paraId="022EBB64" w14:textId="581B5B90" w:rsidR="00687F43" w:rsidRPr="00256884" w:rsidRDefault="00687F43" w:rsidP="00687F43">
      <w:pPr>
        <w:pStyle w:val="Odstavecseseznamem"/>
        <w:numPr>
          <w:ilvl w:val="0"/>
          <w:numId w:val="6"/>
        </w:numPr>
        <w:spacing w:after="120"/>
        <w:ind w:left="1066" w:hanging="357"/>
        <w:contextualSpacing w:val="0"/>
        <w:jc w:val="both"/>
        <w:outlineLvl w:val="0"/>
        <w:rPr>
          <w:rFonts w:asciiTheme="minorHAnsi" w:hAnsiTheme="minorHAnsi" w:cstheme="minorHAnsi"/>
          <w:sz w:val="22"/>
          <w:szCs w:val="22"/>
        </w:rPr>
      </w:pPr>
      <w:r w:rsidRPr="00256884">
        <w:rPr>
          <w:rFonts w:asciiTheme="minorHAnsi" w:hAnsiTheme="minorHAnsi" w:cstheme="minorHAnsi"/>
          <w:sz w:val="22"/>
          <w:szCs w:val="22"/>
        </w:rPr>
        <w:t xml:space="preserve">podmínky realizace výzkumu v takovém rozsahu, aby mohly být přezkoumány a posouzeny Etickou komisí FEI; </w:t>
      </w:r>
    </w:p>
    <w:p w14:paraId="55D78F11" w14:textId="77777777" w:rsidR="00687F43" w:rsidRPr="00256884" w:rsidRDefault="00687F43" w:rsidP="00687F43">
      <w:pPr>
        <w:pStyle w:val="Odstavecseseznamem"/>
        <w:numPr>
          <w:ilvl w:val="0"/>
          <w:numId w:val="6"/>
        </w:numPr>
        <w:spacing w:after="120"/>
        <w:ind w:left="1066" w:hanging="357"/>
        <w:contextualSpacing w:val="0"/>
        <w:jc w:val="both"/>
        <w:outlineLvl w:val="0"/>
        <w:rPr>
          <w:rFonts w:asciiTheme="minorHAnsi" w:hAnsiTheme="minorHAnsi" w:cstheme="minorHAnsi"/>
          <w:sz w:val="22"/>
          <w:szCs w:val="22"/>
        </w:rPr>
      </w:pPr>
      <w:r w:rsidRPr="00256884">
        <w:rPr>
          <w:rFonts w:asciiTheme="minorHAnsi" w:hAnsiTheme="minorHAnsi" w:cstheme="minorHAnsi"/>
          <w:sz w:val="22"/>
          <w:szCs w:val="22"/>
        </w:rPr>
        <w:t xml:space="preserve">způsob, jakým budou vybíráni účastníci výzkumu, jaký k nim bude zvolen přístup, účastníkům výzkumu musí být po dobu jeho trvání zajištěna bezpečnost v dostatečném rozsahu, musí být zajištěna ochrana jejich soukromí, musí dobrovolně a na základě dostatečné úvahy podepsat informované souhlasy; </w:t>
      </w:r>
    </w:p>
    <w:p w14:paraId="499871AB" w14:textId="77777777" w:rsidR="00687F43" w:rsidRPr="00256884" w:rsidRDefault="00687F43" w:rsidP="00687F43">
      <w:pPr>
        <w:pStyle w:val="Odstavecseseznamem"/>
        <w:numPr>
          <w:ilvl w:val="0"/>
          <w:numId w:val="6"/>
        </w:numPr>
        <w:spacing w:after="120"/>
        <w:ind w:left="1066" w:hanging="357"/>
        <w:contextualSpacing w:val="0"/>
        <w:jc w:val="both"/>
        <w:outlineLvl w:val="0"/>
        <w:rPr>
          <w:rFonts w:asciiTheme="minorHAnsi" w:hAnsiTheme="minorHAnsi" w:cstheme="minorHAnsi"/>
          <w:sz w:val="22"/>
          <w:szCs w:val="22"/>
        </w:rPr>
      </w:pPr>
      <w:r w:rsidRPr="00256884">
        <w:rPr>
          <w:rFonts w:asciiTheme="minorHAnsi" w:hAnsiTheme="minorHAnsi" w:cstheme="minorHAnsi"/>
          <w:sz w:val="22"/>
          <w:szCs w:val="22"/>
        </w:rPr>
        <w:lastRenderedPageBreak/>
        <w:t>data účastníků výzkumu (jak základní osobní údaje, tak data, která jsou předmětem výzkumu) musí být uložena tak, aby k nim byl zajištěn (řízený) přístup pouze pracovníky, pracujícími na smluvním výzkumu, a to na need-to-know bázi. Toto je potřeba zajistit jak při jejich sběru, tak zpracovávání, tak uchovávání. Data musí být šifrovaná. Pokud tak není schváleno Etickou komisí FEI, k datům umožňujícím identifikaci nebo zpětnou identifikaci účastníka výzkumu může mít přístup pouze pracovník FEI, ne jiné smluvní strany;</w:t>
      </w:r>
    </w:p>
    <w:p w14:paraId="784D8C94" w14:textId="77777777" w:rsidR="00687F43" w:rsidRPr="00256884" w:rsidRDefault="00687F43" w:rsidP="00687F43">
      <w:pPr>
        <w:pStyle w:val="Odstavecseseznamem"/>
        <w:numPr>
          <w:ilvl w:val="0"/>
          <w:numId w:val="6"/>
        </w:numPr>
        <w:spacing w:after="120"/>
        <w:ind w:left="1066" w:hanging="357"/>
        <w:contextualSpacing w:val="0"/>
        <w:jc w:val="both"/>
        <w:outlineLvl w:val="0"/>
        <w:rPr>
          <w:rFonts w:asciiTheme="minorHAnsi" w:hAnsiTheme="minorHAnsi" w:cstheme="minorHAnsi"/>
          <w:sz w:val="22"/>
          <w:szCs w:val="22"/>
        </w:rPr>
      </w:pPr>
      <w:r w:rsidRPr="00256884">
        <w:rPr>
          <w:rFonts w:asciiTheme="minorHAnsi" w:hAnsiTheme="minorHAnsi" w:cstheme="minorHAnsi"/>
          <w:sz w:val="22"/>
          <w:szCs w:val="22"/>
        </w:rPr>
        <w:t>pokud je potřeba sjednat pojištění (např. za způsobenou újmu, za škody způsobené zkušebním provozem apod.) nad rámec platných pojistných smluv, Smlouva musí obsahovat závazek, že alespoň jedna ze smluvních stran zajistí takové pojištění, aby chránila ostatní smluvní strany pro tyto případy.</w:t>
      </w:r>
    </w:p>
    <w:p w14:paraId="4F6B4D3B" w14:textId="09D3C2F8" w:rsidR="002414CB" w:rsidRPr="00256884" w:rsidRDefault="00687F43" w:rsidP="00C72688">
      <w:pPr>
        <w:pStyle w:val="Odstavecseseznamem"/>
        <w:numPr>
          <w:ilvl w:val="0"/>
          <w:numId w:val="8"/>
        </w:numPr>
        <w:spacing w:after="120"/>
        <w:contextualSpacing w:val="0"/>
        <w:jc w:val="both"/>
        <w:outlineLvl w:val="0"/>
        <w:rPr>
          <w:rFonts w:asciiTheme="minorHAnsi" w:hAnsiTheme="minorHAnsi" w:cstheme="minorHAnsi"/>
          <w:sz w:val="22"/>
          <w:szCs w:val="22"/>
        </w:rPr>
      </w:pPr>
      <w:r w:rsidRPr="00256884">
        <w:rPr>
          <w:rFonts w:asciiTheme="minorHAnsi" w:hAnsiTheme="minorHAnsi" w:cstheme="minorHAnsi"/>
          <w:sz w:val="22"/>
          <w:szCs w:val="22"/>
        </w:rPr>
        <w:t>I v případě, že se k tomuto smluvními výzkumu nebude Etická komise FEI vyjadřovat (např. z důvodu, že okolnosti smluvního výzkumu budou již posuzovány etickou komisí smluvního partnera), tato okolnost nic nemění na skutečnosti, že smluvní výzkum realizovaný pracovníky FEI podléhá pravidlům uvedeným v Náležitostech.</w:t>
      </w:r>
    </w:p>
    <w:sectPr w:rsidR="002414CB" w:rsidRPr="00256884" w:rsidSect="002414CB">
      <w:footerReference w:type="default" r:id="rId7"/>
      <w:headerReference w:type="first" r:id="rId8"/>
      <w:foot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E66E" w14:textId="77777777" w:rsidR="00B00CBE" w:rsidRDefault="00B00CBE" w:rsidP="002414CB">
      <w:r>
        <w:separator/>
      </w:r>
    </w:p>
  </w:endnote>
  <w:endnote w:type="continuationSeparator" w:id="0">
    <w:p w14:paraId="727EF8DD" w14:textId="77777777" w:rsidR="00B00CBE" w:rsidRDefault="00B00CBE" w:rsidP="0024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86600"/>
      <w:docPartObj>
        <w:docPartGallery w:val="Page Numbers (Bottom of Page)"/>
        <w:docPartUnique/>
      </w:docPartObj>
    </w:sdtPr>
    <w:sdtContent>
      <w:p w14:paraId="3830FFDC" w14:textId="77777777" w:rsidR="00121A7A" w:rsidRDefault="00654B0F" w:rsidP="00654B0F">
        <w:pPr>
          <w:pStyle w:val="Zpat"/>
          <w:tabs>
            <w:tab w:val="clear" w:pos="4536"/>
            <w:tab w:val="clear" w:pos="9072"/>
            <w:tab w:val="center" w:pos="4820"/>
            <w:tab w:val="right" w:pos="9638"/>
          </w:tabs>
          <w:ind w:firstLine="708"/>
          <w:jc w:val="center"/>
        </w:pPr>
        <w:r>
          <w:tab/>
        </w:r>
        <w:r w:rsidR="00121A7A" w:rsidRPr="00654B0F">
          <w:rPr>
            <w:rFonts w:asciiTheme="minorHAnsi" w:hAnsiTheme="minorHAnsi" w:cstheme="minorHAnsi"/>
          </w:rPr>
          <w:fldChar w:fldCharType="begin"/>
        </w:r>
        <w:r w:rsidR="00121A7A" w:rsidRPr="00654B0F">
          <w:rPr>
            <w:rFonts w:asciiTheme="minorHAnsi" w:hAnsiTheme="minorHAnsi" w:cstheme="minorHAnsi"/>
          </w:rPr>
          <w:instrText>PAGE   \* MERGEFORMAT</w:instrText>
        </w:r>
        <w:r w:rsidR="00121A7A" w:rsidRPr="00654B0F">
          <w:rPr>
            <w:rFonts w:asciiTheme="minorHAnsi" w:hAnsiTheme="minorHAnsi" w:cstheme="minorHAnsi"/>
          </w:rPr>
          <w:fldChar w:fldCharType="separate"/>
        </w:r>
        <w:r w:rsidR="00121A7A" w:rsidRPr="00654B0F">
          <w:rPr>
            <w:rFonts w:asciiTheme="minorHAnsi" w:hAnsiTheme="minorHAnsi" w:cstheme="minorHAnsi"/>
          </w:rPr>
          <w:t>2</w:t>
        </w:r>
        <w:r w:rsidR="00121A7A" w:rsidRPr="00654B0F">
          <w:rPr>
            <w:rFonts w:asciiTheme="minorHAnsi" w:hAnsiTheme="minorHAnsi" w:cstheme="minorHAnsi"/>
          </w:rPr>
          <w:fldChar w:fldCharType="end"/>
        </w:r>
        <w:r w:rsidRPr="00654B0F">
          <w:rPr>
            <w:rFonts w:asciiTheme="minorHAnsi" w:hAnsiTheme="minorHAnsi" w:cstheme="minorHAnsi"/>
          </w:rPr>
          <w:t xml:space="preserve"> </w:t>
        </w:r>
        <w:r>
          <w:tab/>
        </w:r>
      </w:p>
    </w:sdtContent>
  </w:sdt>
  <w:p w14:paraId="4AD4785B" w14:textId="77777777" w:rsidR="00121A7A" w:rsidRDefault="00121A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789C" w14:textId="182D6A0D" w:rsidR="00121A7A" w:rsidRPr="00654B0F" w:rsidRDefault="00000000" w:rsidP="00654B0F">
    <w:pPr>
      <w:pStyle w:val="Default"/>
      <w:tabs>
        <w:tab w:val="center" w:pos="4820"/>
        <w:tab w:val="right" w:pos="9638"/>
      </w:tabs>
    </w:pPr>
    <w:sdt>
      <w:sdtPr>
        <w:id w:val="1564223320"/>
        <w:docPartObj>
          <w:docPartGallery w:val="Page Numbers (Bottom of Page)"/>
          <w:docPartUnique/>
        </w:docPartObj>
      </w:sdtPr>
      <w:sdtContent>
        <w:r w:rsidR="00654B0F">
          <w:tab/>
        </w:r>
        <w:r w:rsidR="00121A7A" w:rsidRPr="00654B0F">
          <w:rPr>
            <w:rFonts w:asciiTheme="minorHAnsi" w:hAnsiTheme="minorHAnsi" w:cstheme="minorHAnsi"/>
          </w:rPr>
          <w:fldChar w:fldCharType="begin"/>
        </w:r>
        <w:r w:rsidR="00121A7A" w:rsidRPr="00654B0F">
          <w:rPr>
            <w:rFonts w:asciiTheme="minorHAnsi" w:hAnsiTheme="minorHAnsi" w:cstheme="minorHAnsi"/>
          </w:rPr>
          <w:instrText>PAGE   \* MERGEFORMAT</w:instrText>
        </w:r>
        <w:r w:rsidR="00121A7A" w:rsidRPr="00654B0F">
          <w:rPr>
            <w:rFonts w:asciiTheme="minorHAnsi" w:hAnsiTheme="minorHAnsi" w:cstheme="minorHAnsi"/>
          </w:rPr>
          <w:fldChar w:fldCharType="separate"/>
        </w:r>
        <w:r w:rsidR="00121A7A" w:rsidRPr="00654B0F">
          <w:rPr>
            <w:rFonts w:asciiTheme="minorHAnsi" w:hAnsiTheme="minorHAnsi" w:cstheme="minorHAnsi"/>
          </w:rPr>
          <w:t>2</w:t>
        </w:r>
        <w:r w:rsidR="00121A7A" w:rsidRPr="00654B0F">
          <w:rPr>
            <w:rFonts w:asciiTheme="minorHAnsi" w:hAnsiTheme="minorHAnsi" w:cstheme="minorHAnsi"/>
          </w:rPr>
          <w:fldChar w:fldCharType="end"/>
        </w:r>
        <w:r w:rsidR="00654B0F">
          <w:tab/>
        </w:r>
      </w:sdtContent>
    </w:sdt>
    <w:r w:rsidR="00654B0F" w:rsidRPr="00654B0F">
      <w:rPr>
        <w:rFonts w:asciiTheme="minorHAnsi" w:hAnsiTheme="minorHAnsi" w:cstheme="minorHAnsi"/>
        <w:i/>
        <w:sz w:val="20"/>
      </w:rPr>
      <w:t xml:space="preserve"> </w:t>
    </w:r>
    <w:r w:rsidR="00654B0F">
      <w:rPr>
        <w:rFonts w:asciiTheme="minorHAnsi" w:hAnsiTheme="minorHAnsi" w:cstheme="minorHAnsi"/>
        <w:i/>
        <w:sz w:val="20"/>
      </w:rPr>
      <w:t>Verze</w:t>
    </w:r>
    <w:r w:rsidR="00654B0F" w:rsidRPr="00654B0F">
      <w:rPr>
        <w:rFonts w:asciiTheme="minorHAnsi" w:hAnsiTheme="minorHAnsi" w:cstheme="minorHAnsi"/>
        <w:i/>
        <w:sz w:val="20"/>
      </w:rPr>
      <w:t xml:space="preserve"> </w:t>
    </w:r>
    <w:r w:rsidR="0011591D">
      <w:rPr>
        <w:rFonts w:asciiTheme="minorHAnsi" w:hAnsiTheme="minorHAnsi" w:cstheme="minorHAnsi"/>
        <w:i/>
        <w:sz w:val="20"/>
      </w:rPr>
      <w:t>0</w:t>
    </w:r>
    <w:r w:rsidR="00C72688">
      <w:rPr>
        <w:rFonts w:asciiTheme="minorHAnsi" w:hAnsiTheme="minorHAnsi" w:cstheme="minorHAnsi"/>
        <w:i/>
        <w:sz w:val="20"/>
      </w:rPr>
      <w:t>1</w:t>
    </w:r>
    <w:r w:rsidR="0011591D">
      <w:rPr>
        <w:rFonts w:asciiTheme="minorHAnsi" w:hAnsiTheme="minorHAnsi" w:cstheme="minorHAnsi"/>
        <w:i/>
        <w:sz w:val="20"/>
      </w:rPr>
      <w:t xml:space="preserve"> </w:t>
    </w:r>
    <w:r w:rsidR="00654B0F">
      <w:rPr>
        <w:rFonts w:asciiTheme="minorHAnsi" w:hAnsiTheme="minorHAnsi" w:cstheme="minorHAnsi"/>
        <w:i/>
        <w:sz w:val="20"/>
      </w:rPr>
      <w:t>(</w:t>
    </w:r>
    <w:r w:rsidR="00FB665A">
      <w:rPr>
        <w:rFonts w:asciiTheme="minorHAnsi" w:hAnsiTheme="minorHAnsi" w:cstheme="minorHAnsi"/>
        <w:i/>
        <w:sz w:val="20"/>
      </w:rPr>
      <w:t>1</w:t>
    </w:r>
    <w:r w:rsidR="00654B0F">
      <w:rPr>
        <w:rFonts w:asciiTheme="minorHAnsi" w:hAnsiTheme="minorHAnsi" w:cstheme="minorHAnsi"/>
        <w:i/>
        <w:sz w:val="20"/>
      </w:rPr>
      <w:t xml:space="preserve">. </w:t>
    </w:r>
    <w:r w:rsidR="00256884">
      <w:rPr>
        <w:rFonts w:asciiTheme="minorHAnsi" w:hAnsiTheme="minorHAnsi" w:cstheme="minorHAnsi"/>
        <w:i/>
        <w:sz w:val="20"/>
      </w:rPr>
      <w:t>6</w:t>
    </w:r>
    <w:r w:rsidR="00654B0F">
      <w:rPr>
        <w:rFonts w:asciiTheme="minorHAnsi" w:hAnsiTheme="minorHAnsi" w:cstheme="minorHAnsi"/>
        <w:i/>
        <w:sz w:val="20"/>
      </w:rPr>
      <w:t>. 202</w:t>
    </w:r>
    <w:r w:rsidR="00FB665A">
      <w:rPr>
        <w:rFonts w:asciiTheme="minorHAnsi" w:hAnsiTheme="minorHAnsi" w:cstheme="minorHAnsi"/>
        <w:i/>
        <w:sz w:val="20"/>
      </w:rPr>
      <w:t>6</w:t>
    </w:r>
    <w:r w:rsidR="00654B0F">
      <w:rPr>
        <w:rFonts w:asciiTheme="minorHAnsi" w:hAnsiTheme="minorHAnsi" w:cstheme="minorHAnsi"/>
        <w:i/>
        <w:sz w:val="20"/>
      </w:rPr>
      <w:t>)</w:t>
    </w:r>
  </w:p>
  <w:p w14:paraId="1C81CD0B" w14:textId="77777777" w:rsidR="00121A7A" w:rsidRDefault="00121A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4F77" w14:textId="77777777" w:rsidR="00B00CBE" w:rsidRDefault="00B00CBE" w:rsidP="002414CB">
      <w:r>
        <w:separator/>
      </w:r>
    </w:p>
  </w:footnote>
  <w:footnote w:type="continuationSeparator" w:id="0">
    <w:p w14:paraId="30B72557" w14:textId="77777777" w:rsidR="00B00CBE" w:rsidRDefault="00B00CBE" w:rsidP="0024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0BBC" w14:textId="77777777" w:rsidR="002414CB" w:rsidRDefault="002414CB" w:rsidP="00CC235F">
    <w:pPr>
      <w:pStyle w:val="Zhlav"/>
      <w:tabs>
        <w:tab w:val="clear" w:pos="4536"/>
        <w:tab w:val="clear" w:pos="9072"/>
        <w:tab w:val="center" w:pos="4820"/>
      </w:tabs>
      <w:jc w:val="center"/>
    </w:pPr>
    <w:r w:rsidRPr="000653D5">
      <w:rPr>
        <w:rFonts w:asciiTheme="minorHAnsi" w:hAnsiTheme="minorHAnsi" w:cstheme="minorHAnsi"/>
        <w:noProof/>
        <w:sz w:val="22"/>
      </w:rPr>
      <w:drawing>
        <wp:inline distT="0" distB="0" distL="0" distR="0" wp14:anchorId="0662D15C" wp14:editId="180676B7">
          <wp:extent cx="5397500" cy="1701800"/>
          <wp:effectExtent l="0" t="0" r="0" b="0"/>
          <wp:docPr id="1271534639" name="Obrázek 1271534639"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6282" name="Obrázek 1" descr="Obsah obrázku text, Písmo, snímek obrazovky, Grafika&#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7500" cy="170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1AB"/>
    <w:multiLevelType w:val="hybridMultilevel"/>
    <w:tmpl w:val="E0B4D73E"/>
    <w:lvl w:ilvl="0" w:tplc="0DDC20BE">
      <w:start w:val="1"/>
      <w:numFmt w:val="lowerLetter"/>
      <w:lvlText w:val="%1."/>
      <w:lvlJc w:val="left"/>
      <w:pPr>
        <w:ind w:left="1068" w:hanging="360"/>
      </w:pPr>
      <w:rPr>
        <w:rFonts w:asciiTheme="minorHAnsi" w:eastAsia="Times New Roman" w:hAnsiTheme="minorHAnsi" w:cstheme="minorHAnsi"/>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D3C3FB9"/>
    <w:multiLevelType w:val="hybridMultilevel"/>
    <w:tmpl w:val="BCE2C594"/>
    <w:lvl w:ilvl="0" w:tplc="F836C738">
      <w:start w:val="1"/>
      <w:numFmt w:val="decimal"/>
      <w:lvlText w:val="(%1)"/>
      <w:lvlJc w:val="left"/>
      <w:pPr>
        <w:ind w:left="720" w:hanging="360"/>
      </w:pPr>
      <w:rPr>
        <w:rFonts w:ascii="Calibri" w:eastAsia="Times New Roman" w:hAnsi="Calibri" w:cs="Calibri" w:hint="default"/>
      </w:rPr>
    </w:lvl>
    <w:lvl w:ilvl="1" w:tplc="6AD252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054D38"/>
    <w:multiLevelType w:val="hybridMultilevel"/>
    <w:tmpl w:val="68A88FBE"/>
    <w:lvl w:ilvl="0" w:tplc="6AD25278">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5C74C4"/>
    <w:multiLevelType w:val="hybridMultilevel"/>
    <w:tmpl w:val="E5E8720E"/>
    <w:lvl w:ilvl="0" w:tplc="FFFFFFFF">
      <w:start w:val="1"/>
      <w:numFmt w:val="decimal"/>
      <w:lvlText w:val="%1."/>
      <w:lvlJc w:val="left"/>
      <w:pPr>
        <w:ind w:left="717" w:hanging="360"/>
      </w:pPr>
      <w:rPr>
        <w:rFonts w:asciiTheme="minorHAnsi" w:eastAsia="Times New Roman" w:hAnsiTheme="minorHAnsi" w:cstheme="minorHAnsi"/>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49CD1191"/>
    <w:multiLevelType w:val="hybridMultilevel"/>
    <w:tmpl w:val="E5E8720E"/>
    <w:lvl w:ilvl="0" w:tplc="EA2C626C">
      <w:start w:val="1"/>
      <w:numFmt w:val="decimal"/>
      <w:lvlText w:val="%1."/>
      <w:lvlJc w:val="left"/>
      <w:pPr>
        <w:ind w:left="717" w:hanging="360"/>
      </w:pPr>
      <w:rPr>
        <w:rFonts w:asciiTheme="minorHAnsi" w:eastAsia="Times New Roman" w:hAnsiTheme="minorHAnsi" w:cstheme="minorHAnsi"/>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4A904A02"/>
    <w:multiLevelType w:val="multilevel"/>
    <w:tmpl w:val="07280A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mbria" w:eastAsia="Cambria" w:hAnsi="Cambria" w:cs="Cambri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34733D"/>
    <w:multiLevelType w:val="hybridMultilevel"/>
    <w:tmpl w:val="FCBE8AEC"/>
    <w:lvl w:ilvl="0" w:tplc="0405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A7A68DB"/>
    <w:multiLevelType w:val="hybridMultilevel"/>
    <w:tmpl w:val="0F208448"/>
    <w:lvl w:ilvl="0" w:tplc="3DC8A106">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4873876">
    <w:abstractNumId w:val="1"/>
  </w:num>
  <w:num w:numId="2" w16cid:durableId="2044555718">
    <w:abstractNumId w:val="5"/>
  </w:num>
  <w:num w:numId="3" w16cid:durableId="62606990">
    <w:abstractNumId w:val="7"/>
  </w:num>
  <w:num w:numId="4" w16cid:durableId="2009287710">
    <w:abstractNumId w:val="2"/>
  </w:num>
  <w:num w:numId="5" w16cid:durableId="1314523282">
    <w:abstractNumId w:val="4"/>
  </w:num>
  <w:num w:numId="6" w16cid:durableId="1200044185">
    <w:abstractNumId w:val="0"/>
  </w:num>
  <w:num w:numId="7" w16cid:durableId="686948808">
    <w:abstractNumId w:val="6"/>
  </w:num>
  <w:num w:numId="8" w16cid:durableId="1725256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CB"/>
    <w:rsid w:val="0004632B"/>
    <w:rsid w:val="000505F0"/>
    <w:rsid w:val="000E378A"/>
    <w:rsid w:val="0011591D"/>
    <w:rsid w:val="00121A7A"/>
    <w:rsid w:val="00146448"/>
    <w:rsid w:val="00153695"/>
    <w:rsid w:val="00181018"/>
    <w:rsid w:val="001D5030"/>
    <w:rsid w:val="001F210E"/>
    <w:rsid w:val="002410DC"/>
    <w:rsid w:val="002414CB"/>
    <w:rsid w:val="00256884"/>
    <w:rsid w:val="002C0F47"/>
    <w:rsid w:val="00365D57"/>
    <w:rsid w:val="00384B16"/>
    <w:rsid w:val="003D4754"/>
    <w:rsid w:val="00572F11"/>
    <w:rsid w:val="00600435"/>
    <w:rsid w:val="00633F81"/>
    <w:rsid w:val="00654B0F"/>
    <w:rsid w:val="00673440"/>
    <w:rsid w:val="00687F43"/>
    <w:rsid w:val="007451C3"/>
    <w:rsid w:val="007471DE"/>
    <w:rsid w:val="007C175F"/>
    <w:rsid w:val="007C6EDB"/>
    <w:rsid w:val="00877C77"/>
    <w:rsid w:val="0092079C"/>
    <w:rsid w:val="00964569"/>
    <w:rsid w:val="00A135A1"/>
    <w:rsid w:val="00B00CBE"/>
    <w:rsid w:val="00B22711"/>
    <w:rsid w:val="00B46892"/>
    <w:rsid w:val="00B81FE0"/>
    <w:rsid w:val="00BC77D2"/>
    <w:rsid w:val="00C72688"/>
    <w:rsid w:val="00CC235F"/>
    <w:rsid w:val="00D24D0E"/>
    <w:rsid w:val="00E01492"/>
    <w:rsid w:val="00E93572"/>
    <w:rsid w:val="00F22BE5"/>
    <w:rsid w:val="00F3585D"/>
    <w:rsid w:val="00F50D94"/>
    <w:rsid w:val="00FB665A"/>
    <w:rsid w:val="00FC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3BC4"/>
  <w15:chartTrackingRefBased/>
  <w15:docId w15:val="{2D8F8064-D0F0-4FE2-9375-204103E5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14C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414CB"/>
    <w:rPr>
      <w:color w:val="0000FF"/>
      <w:u w:val="single"/>
    </w:rPr>
  </w:style>
  <w:style w:type="table" w:styleId="Mkatabulky">
    <w:name w:val="Table Grid"/>
    <w:basedOn w:val="Normlntabulka"/>
    <w:uiPriority w:val="59"/>
    <w:rsid w:val="002414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rsid w:val="002414CB"/>
    <w:rPr>
      <w:sz w:val="20"/>
      <w:szCs w:val="20"/>
    </w:rPr>
  </w:style>
  <w:style w:type="character" w:customStyle="1" w:styleId="TextkomenteChar">
    <w:name w:val="Text komentáře Char"/>
    <w:basedOn w:val="Standardnpsmoodstavce"/>
    <w:link w:val="Textkomente"/>
    <w:uiPriority w:val="99"/>
    <w:rsid w:val="002414C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414CB"/>
    <w:pPr>
      <w:ind w:left="720"/>
      <w:contextualSpacing/>
    </w:pPr>
  </w:style>
  <w:style w:type="paragraph" w:styleId="Zhlav">
    <w:name w:val="header"/>
    <w:basedOn w:val="Normln"/>
    <w:link w:val="ZhlavChar"/>
    <w:uiPriority w:val="99"/>
    <w:unhideWhenUsed/>
    <w:rsid w:val="002414CB"/>
    <w:pPr>
      <w:tabs>
        <w:tab w:val="center" w:pos="4536"/>
        <w:tab w:val="right" w:pos="9072"/>
      </w:tabs>
    </w:pPr>
  </w:style>
  <w:style w:type="character" w:customStyle="1" w:styleId="ZhlavChar">
    <w:name w:val="Záhlaví Char"/>
    <w:basedOn w:val="Standardnpsmoodstavce"/>
    <w:link w:val="Zhlav"/>
    <w:uiPriority w:val="99"/>
    <w:rsid w:val="002414C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414CB"/>
    <w:pPr>
      <w:tabs>
        <w:tab w:val="center" w:pos="4536"/>
        <w:tab w:val="right" w:pos="9072"/>
      </w:tabs>
    </w:pPr>
  </w:style>
  <w:style w:type="character" w:customStyle="1" w:styleId="ZpatChar">
    <w:name w:val="Zápatí Char"/>
    <w:basedOn w:val="Standardnpsmoodstavce"/>
    <w:link w:val="Zpat"/>
    <w:uiPriority w:val="99"/>
    <w:rsid w:val="002414CB"/>
    <w:rPr>
      <w:rFonts w:ascii="Times New Roman" w:eastAsia="Times New Roman" w:hAnsi="Times New Roman" w:cs="Times New Roman"/>
      <w:sz w:val="24"/>
      <w:szCs w:val="24"/>
      <w:lang w:eastAsia="cs-CZ"/>
    </w:rPr>
  </w:style>
  <w:style w:type="paragraph" w:customStyle="1" w:styleId="Default">
    <w:name w:val="Default"/>
    <w:rsid w:val="00654B0F"/>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11591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uiPriority w:val="99"/>
    <w:rsid w:val="00B81F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3388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Krejci Petr</dc:creator>
  <cp:keywords/>
  <dc:description/>
  <cp:lastModifiedBy>Petr Krejčí</cp:lastModifiedBy>
  <cp:revision>4</cp:revision>
  <dcterms:created xsi:type="dcterms:W3CDTF">2026-05-15T13:26:00Z</dcterms:created>
  <dcterms:modified xsi:type="dcterms:W3CDTF">2026-06-01T07:59:00Z</dcterms:modified>
</cp:coreProperties>
</file>