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9CB3" w14:textId="77777777" w:rsidR="002414CB" w:rsidRPr="007309CC" w:rsidRDefault="002414CB" w:rsidP="002414CB">
      <w:pPr>
        <w:jc w:val="center"/>
        <w:rPr>
          <w:rFonts w:asciiTheme="minorHAnsi" w:hAnsiTheme="minorHAnsi" w:cstheme="minorHAnsi"/>
          <w:sz w:val="22"/>
        </w:rPr>
      </w:pPr>
    </w:p>
    <w:p w14:paraId="0BDC357B" w14:textId="7CD7F375" w:rsidR="007309CC" w:rsidRDefault="007309CC" w:rsidP="007309CC">
      <w:pPr>
        <w:jc w:val="center"/>
        <w:rPr>
          <w:rFonts w:asciiTheme="minorHAnsi" w:hAnsiTheme="minorHAnsi" w:cstheme="minorHAnsi"/>
          <w:b/>
          <w:bCs/>
          <w:sz w:val="28"/>
          <w:szCs w:val="28"/>
          <w:lang w:val="en-GB"/>
        </w:rPr>
      </w:pPr>
      <w:r w:rsidRPr="007309CC">
        <w:rPr>
          <w:rFonts w:asciiTheme="minorHAnsi" w:hAnsiTheme="minorHAnsi" w:cstheme="minorHAnsi"/>
          <w:b/>
          <w:bCs/>
          <w:sz w:val="28"/>
          <w:szCs w:val="28"/>
          <w:lang w:val="en-GB"/>
        </w:rPr>
        <w:t>Mandatory Requirements for Contract Research in the Field of Biomedicine</w:t>
      </w:r>
    </w:p>
    <w:p w14:paraId="3F725858" w14:textId="77777777" w:rsidR="007309CC" w:rsidRDefault="007309CC" w:rsidP="007309CC">
      <w:pPr>
        <w:jc w:val="center"/>
        <w:rPr>
          <w:rFonts w:asciiTheme="minorHAnsi" w:hAnsiTheme="minorHAnsi" w:cstheme="minorHAnsi"/>
          <w:b/>
          <w:bCs/>
          <w:sz w:val="28"/>
          <w:szCs w:val="28"/>
          <w:lang w:val="en-GB"/>
        </w:rPr>
      </w:pPr>
    </w:p>
    <w:p w14:paraId="19FC6F60" w14:textId="77777777" w:rsidR="007309CC" w:rsidRPr="007309CC" w:rsidRDefault="007309CC" w:rsidP="007309CC">
      <w:pPr>
        <w:pStyle w:val="Odstavecseseznamem"/>
        <w:numPr>
          <w:ilvl w:val="0"/>
          <w:numId w:val="6"/>
        </w:numPr>
        <w:spacing w:before="240" w:after="120"/>
        <w:ind w:left="357" w:hanging="215"/>
        <w:contextualSpacing w:val="0"/>
        <w:jc w:val="both"/>
        <w:outlineLvl w:val="0"/>
        <w:rPr>
          <w:rFonts w:asciiTheme="minorHAnsi" w:hAnsiTheme="minorHAnsi" w:cstheme="minorHAnsi"/>
          <w:b/>
          <w:bCs/>
          <w:sz w:val="22"/>
          <w:szCs w:val="22"/>
          <w:lang w:val="en-GB"/>
        </w:rPr>
      </w:pPr>
      <w:r w:rsidRPr="007309CC">
        <w:rPr>
          <w:rFonts w:asciiTheme="minorHAnsi" w:hAnsiTheme="minorHAnsi" w:cstheme="minorHAnsi"/>
          <w:b/>
          <w:bCs/>
          <w:sz w:val="22"/>
          <w:szCs w:val="22"/>
          <w:lang w:val="en-GB"/>
        </w:rPr>
        <w:t>Introductory Provisions</w:t>
      </w:r>
    </w:p>
    <w:p w14:paraId="0449787D" w14:textId="77777777" w:rsidR="007309CC" w:rsidRPr="007309CC" w:rsidRDefault="007309CC" w:rsidP="007309CC">
      <w:pPr>
        <w:pStyle w:val="Odstavecseseznamem"/>
        <w:numPr>
          <w:ilvl w:val="0"/>
          <w:numId w:val="5"/>
        </w:numPr>
        <w:spacing w:after="120"/>
        <w:ind w:left="714" w:hanging="357"/>
        <w:contextualSpacing w:val="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t>Scope of these requirements for contract research: The mandatory requirements for contract research (hereinafter referred to as the “Requirements”) must be applied in cases where contract research in the field of biomedicine is conducted in which the VSB – Technical University of Ostrava, Faculty of Electrical Engineering and Computer Science (hereinafter referred to as “FEECS”). Contract research shall be deemed to exist whenever research is conducted on the basis of a contract concluded with one or more parties. Contract research will therefore also apply in cases where it does not constitute an economic (ancillary) activity of the faculty, but rather, for example, research funded by the state and/or an international organization, as well as research that the contracting parties will finance from their own resources on the basis of a contract.</w:t>
      </w:r>
    </w:p>
    <w:p w14:paraId="11A0193F" w14:textId="77777777" w:rsidR="007309CC" w:rsidRPr="007309CC" w:rsidRDefault="007309CC" w:rsidP="007309CC">
      <w:pPr>
        <w:pStyle w:val="Odstavecseseznamem"/>
        <w:numPr>
          <w:ilvl w:val="0"/>
          <w:numId w:val="5"/>
        </w:numPr>
        <w:spacing w:after="120"/>
        <w:ind w:left="714" w:hanging="357"/>
        <w:contextualSpacing w:val="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t xml:space="preserve">In the cases described in the preceding paragraph, these Terms and Conditions are binding on FEECS employees, who must comply with them. For the avoidance of doubt, it makes no difference whether the contract research is conducted on FEECS premises or off-site. The other contracting party (or all contracting parties, if there are more than one) must also be made aware of the Terms and Conditions, and it is recommended that the Terms and Conditions be appropriately incorporated into the contractual documentation relating to the contract research (hereinafter referred to as the “Agreement”), for example in the form of an annex to the Agreement. </w:t>
      </w:r>
    </w:p>
    <w:p w14:paraId="45F54474" w14:textId="77777777" w:rsidR="007309CC" w:rsidRPr="007309CC" w:rsidRDefault="007309CC" w:rsidP="007309CC">
      <w:pPr>
        <w:pStyle w:val="Odstavecseseznamem"/>
        <w:numPr>
          <w:ilvl w:val="0"/>
          <w:numId w:val="5"/>
        </w:numPr>
        <w:spacing w:after="120"/>
        <w:ind w:left="714" w:hanging="357"/>
        <w:contextualSpacing w:val="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t xml:space="preserve">Even if the Requirements do not contractually bind the other contracting party (or multiple contracting parties), FEECS staff must comply with them. Therefore, if this means that FEECS staff will be conducting the research activities themselves, they must proceed in accordance with the Requirements. The Requirements will thus be indirectly effective for the other contracting party as well, and it is recommended that the contracting parties cooperate to ensure that the Requirements are properly fulfilled and that the research is thus conducted in accordance with the Requirements. </w:t>
      </w:r>
    </w:p>
    <w:p w14:paraId="6D4FE350" w14:textId="77777777" w:rsidR="007309CC" w:rsidRPr="007309CC" w:rsidRDefault="007309CC" w:rsidP="007309CC">
      <w:pPr>
        <w:pStyle w:val="Odstavecseseznamem"/>
        <w:numPr>
          <w:ilvl w:val="0"/>
          <w:numId w:val="5"/>
        </w:numPr>
        <w:spacing w:after="120"/>
        <w:ind w:left="714" w:hanging="357"/>
        <w:contextualSpacing w:val="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t>The purpose of the Requirements is to ensure that the contract research in the field of biomedicine conducted by FEECS complies with all applicable laws and regulations and that current ethical and humane standards are observed within its framework.</w:t>
      </w:r>
    </w:p>
    <w:p w14:paraId="2CD077B7" w14:textId="77777777" w:rsidR="007309CC" w:rsidRPr="007309CC" w:rsidRDefault="007309CC" w:rsidP="007309CC">
      <w:pPr>
        <w:pStyle w:val="Odstavecseseznamem"/>
        <w:numPr>
          <w:ilvl w:val="0"/>
          <w:numId w:val="6"/>
        </w:numPr>
        <w:spacing w:before="240" w:after="120"/>
        <w:ind w:left="357" w:hanging="215"/>
        <w:contextualSpacing w:val="0"/>
        <w:jc w:val="both"/>
        <w:outlineLvl w:val="0"/>
        <w:rPr>
          <w:rFonts w:asciiTheme="minorHAnsi" w:hAnsiTheme="minorHAnsi" w:cstheme="minorHAnsi"/>
          <w:b/>
          <w:bCs/>
          <w:sz w:val="22"/>
          <w:szCs w:val="22"/>
          <w:lang w:val="en-GB"/>
        </w:rPr>
      </w:pPr>
      <w:r w:rsidRPr="007309CC">
        <w:rPr>
          <w:rFonts w:asciiTheme="minorHAnsi" w:hAnsiTheme="minorHAnsi" w:cstheme="minorHAnsi"/>
          <w:b/>
          <w:bCs/>
          <w:sz w:val="22"/>
          <w:szCs w:val="22"/>
          <w:lang w:val="en-GB"/>
        </w:rPr>
        <w:t>Obligations Related to Contract Research</w:t>
      </w:r>
    </w:p>
    <w:p w14:paraId="548D6080" w14:textId="77777777" w:rsidR="007309CC" w:rsidRPr="007309CC" w:rsidRDefault="007309CC" w:rsidP="007309CC">
      <w:pPr>
        <w:pStyle w:val="Odstavecseseznamem"/>
        <w:numPr>
          <w:ilvl w:val="0"/>
          <w:numId w:val="7"/>
        </w:numPr>
        <w:spacing w:after="120"/>
        <w:contextualSpacing w:val="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t xml:space="preserve">In addition to the obligations arising from applicable legislation, internal regulations, and the Agreement, FEECS employees are also required to comply with the “Regulations of the Ethics Committee for Biomedical Research at the FEECS VSB-TUO” (FEI_LEG_23_01). For this reason, the Contract (or its annex, if applicable) must include the following: </w:t>
      </w:r>
    </w:p>
    <w:p w14:paraId="1B1D7426" w14:textId="77777777" w:rsidR="007309CC" w:rsidRPr="007309CC" w:rsidRDefault="007309CC" w:rsidP="007309CC">
      <w:pPr>
        <w:pStyle w:val="Odstavecseseznamem"/>
        <w:numPr>
          <w:ilvl w:val="0"/>
          <w:numId w:val="8"/>
        </w:numPr>
        <w:spacing w:after="12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t xml:space="preserve">the conditions under which the research will be conducted, in sufficient detail to allow for review and evaluation by the FEECS Ethics Committee; </w:t>
      </w:r>
    </w:p>
    <w:p w14:paraId="53FD9964" w14:textId="77777777" w:rsidR="007309CC" w:rsidRPr="007309CC" w:rsidRDefault="007309CC" w:rsidP="007309CC">
      <w:pPr>
        <w:pStyle w:val="Odstavecseseznamem"/>
        <w:numPr>
          <w:ilvl w:val="0"/>
          <w:numId w:val="8"/>
        </w:numPr>
        <w:spacing w:after="12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t xml:space="preserve">the method by which research participants will be selected, the approach to be taken toward them; research participants must be provided with adequate safety throughout the duration of the research, their privacy must be protected, and they must sign informed consent forms voluntarily and after sufficient consideration; </w:t>
      </w:r>
    </w:p>
    <w:p w14:paraId="42F26506" w14:textId="77777777" w:rsidR="007309CC" w:rsidRPr="007309CC" w:rsidRDefault="007309CC" w:rsidP="007309CC">
      <w:pPr>
        <w:pStyle w:val="Odstavecseseznamem"/>
        <w:numPr>
          <w:ilvl w:val="0"/>
          <w:numId w:val="8"/>
        </w:numPr>
        <w:spacing w:after="12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lastRenderedPageBreak/>
        <w:t>Research participants’ data (both basic personal information and data that is the subject of the research) must be stored in such a way that (controlled) access is restricted to personnel working on the contracted research, on a need-to-know basis. This must be ensured during collection, processing, and storage. Data must be encrypted. Unless otherwise approved by the FEECS Ethics Committee, only FEECS staff, and no other contracting parties, may have access to data that allows for the identification or re-identification of a research participant;</w:t>
      </w:r>
    </w:p>
    <w:p w14:paraId="681A6CE5" w14:textId="77777777" w:rsidR="007309CC" w:rsidRPr="007309CC" w:rsidRDefault="007309CC" w:rsidP="007309CC">
      <w:pPr>
        <w:pStyle w:val="Odstavecseseznamem"/>
        <w:numPr>
          <w:ilvl w:val="0"/>
          <w:numId w:val="8"/>
        </w:numPr>
        <w:spacing w:after="120"/>
        <w:jc w:val="both"/>
        <w:outlineLvl w:val="0"/>
        <w:rPr>
          <w:rFonts w:asciiTheme="minorHAnsi" w:hAnsiTheme="minorHAnsi" w:cstheme="minorHAnsi"/>
          <w:sz w:val="22"/>
          <w:szCs w:val="22"/>
          <w:lang w:val="en-GB"/>
        </w:rPr>
      </w:pPr>
      <w:r w:rsidRPr="007309CC">
        <w:rPr>
          <w:rFonts w:asciiTheme="minorHAnsi" w:hAnsiTheme="minorHAnsi" w:cstheme="minorHAnsi"/>
          <w:sz w:val="22"/>
          <w:szCs w:val="22"/>
          <w:lang w:val="en-GB"/>
        </w:rPr>
        <w:t>if it is necessary to arrange insurance (e.g., for bodily injury, for damages caused by trial operations, etc.) beyond the scope of existing insurance policies, the Agreement must include a commitment that at least one of the contracting parties will secure such insurance to protect the other contracting parties in these cases.</w:t>
      </w:r>
    </w:p>
    <w:p w14:paraId="62920A7B" w14:textId="58D0859A" w:rsidR="002414CB" w:rsidRPr="007309CC" w:rsidRDefault="007309CC" w:rsidP="007309CC">
      <w:pPr>
        <w:spacing w:after="120"/>
        <w:jc w:val="both"/>
        <w:outlineLvl w:val="0"/>
        <w:rPr>
          <w:rFonts w:asciiTheme="minorHAnsi" w:hAnsiTheme="minorHAnsi" w:cstheme="minorHAnsi"/>
          <w:b/>
          <w:bCs/>
          <w:sz w:val="22"/>
          <w:szCs w:val="22"/>
        </w:rPr>
      </w:pPr>
      <w:r w:rsidRPr="007309CC">
        <w:rPr>
          <w:rFonts w:asciiTheme="minorHAnsi" w:hAnsiTheme="minorHAnsi" w:cstheme="minorHAnsi"/>
          <w:sz w:val="22"/>
          <w:szCs w:val="22"/>
          <w:lang w:val="en-GB"/>
        </w:rPr>
        <w:t>Even if the FEECS Ethics Committee does not comment on such contract research (e.g., because the circumstances of the contract research will already be reviewed by the ethics committee of the contracting partner), this does not alter the fact that contract research conducted by FEECS staff is subje</w:t>
      </w:r>
      <w:r w:rsidRPr="007309CC">
        <w:rPr>
          <w:rFonts w:asciiTheme="minorHAnsi" w:hAnsiTheme="minorHAnsi" w:cstheme="minorHAnsi"/>
          <w:szCs w:val="22"/>
          <w:lang w:val="en-GB"/>
        </w:rPr>
        <w:t>ct to the rules set forth in the Guidelines.</w:t>
      </w:r>
    </w:p>
    <w:sectPr w:rsidR="002414CB" w:rsidRPr="007309CC" w:rsidSect="0058307F">
      <w:footerReference w:type="default" r:id="rId7"/>
      <w:headerReference w:type="first" r:id="rId8"/>
      <w:foot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E0D5" w14:textId="77777777" w:rsidR="00180DFE" w:rsidRDefault="00180DFE" w:rsidP="002414CB">
      <w:r>
        <w:separator/>
      </w:r>
    </w:p>
  </w:endnote>
  <w:endnote w:type="continuationSeparator" w:id="0">
    <w:p w14:paraId="39C4DED4" w14:textId="77777777" w:rsidR="00180DFE" w:rsidRDefault="00180DFE" w:rsidP="0024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11118693"/>
      <w:docPartObj>
        <w:docPartGallery w:val="Page Numbers (Bottom of Page)"/>
        <w:docPartUnique/>
      </w:docPartObj>
    </w:sdtPr>
    <w:sdtContent>
      <w:p w14:paraId="04648E97" w14:textId="77777777" w:rsidR="0058307F" w:rsidRPr="006E652F" w:rsidRDefault="0058307F" w:rsidP="006E652F">
        <w:pPr>
          <w:pStyle w:val="Zpat"/>
          <w:tabs>
            <w:tab w:val="clear" w:pos="4536"/>
            <w:tab w:val="clear" w:pos="9072"/>
            <w:tab w:val="center" w:pos="4820"/>
            <w:tab w:val="right" w:pos="9638"/>
          </w:tabs>
          <w:jc w:val="center"/>
          <w:rPr>
            <w:rFonts w:asciiTheme="minorHAnsi" w:hAnsiTheme="minorHAnsi" w:cstheme="minorHAnsi"/>
          </w:rPr>
        </w:pPr>
        <w:r w:rsidRPr="006E652F">
          <w:rPr>
            <w:rFonts w:asciiTheme="minorHAnsi" w:hAnsiTheme="minorHAnsi" w:cstheme="minorHAnsi"/>
          </w:rPr>
          <w:fldChar w:fldCharType="begin"/>
        </w:r>
        <w:r w:rsidRPr="006E652F">
          <w:rPr>
            <w:rFonts w:asciiTheme="minorHAnsi" w:hAnsiTheme="minorHAnsi" w:cstheme="minorHAnsi"/>
          </w:rPr>
          <w:instrText>PAGE   \* MERGEFORMAT</w:instrText>
        </w:r>
        <w:r w:rsidRPr="006E652F">
          <w:rPr>
            <w:rFonts w:asciiTheme="minorHAnsi" w:hAnsiTheme="minorHAnsi" w:cstheme="minorHAnsi"/>
          </w:rPr>
          <w:fldChar w:fldCharType="separate"/>
        </w:r>
        <w:r w:rsidRPr="006E652F">
          <w:rPr>
            <w:rFonts w:asciiTheme="minorHAnsi" w:hAnsiTheme="minorHAnsi" w:cstheme="minorHAnsi"/>
          </w:rPr>
          <w:t>2</w:t>
        </w:r>
        <w:r w:rsidRPr="006E652F">
          <w:rPr>
            <w:rFonts w:asciiTheme="minorHAnsi" w:hAnsiTheme="minorHAnsi" w:cstheme="minorHAnsi"/>
          </w:rPr>
          <w:fldChar w:fldCharType="end"/>
        </w:r>
      </w:p>
    </w:sdtContent>
  </w:sdt>
  <w:p w14:paraId="20BEE949" w14:textId="77777777" w:rsidR="0058307F" w:rsidRDefault="00583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809914183"/>
      <w:docPartObj>
        <w:docPartGallery w:val="Page Numbers (Bottom of Page)"/>
        <w:docPartUnique/>
      </w:docPartObj>
    </w:sdtPr>
    <w:sdtContent>
      <w:p w14:paraId="3CCE0A14" w14:textId="269FAEDC" w:rsidR="006E652F" w:rsidRPr="006E652F" w:rsidRDefault="006E652F" w:rsidP="006E652F">
        <w:pPr>
          <w:pStyle w:val="Zpat"/>
          <w:tabs>
            <w:tab w:val="clear" w:pos="4536"/>
            <w:tab w:val="clear" w:pos="9072"/>
            <w:tab w:val="center" w:pos="4820"/>
            <w:tab w:val="right" w:pos="9638"/>
          </w:tabs>
          <w:jc w:val="center"/>
          <w:rPr>
            <w:rFonts w:asciiTheme="minorHAnsi" w:hAnsiTheme="minorHAnsi" w:cstheme="minorHAnsi"/>
          </w:rPr>
        </w:pPr>
        <w:r>
          <w:rPr>
            <w:rFonts w:asciiTheme="minorHAnsi" w:hAnsiTheme="minorHAnsi" w:cstheme="minorHAnsi"/>
          </w:rPr>
          <w:tab/>
        </w:r>
        <w:r w:rsidR="0058307F" w:rsidRPr="006E652F">
          <w:rPr>
            <w:rFonts w:asciiTheme="minorHAnsi" w:hAnsiTheme="minorHAnsi" w:cstheme="minorHAnsi"/>
          </w:rPr>
          <w:fldChar w:fldCharType="begin"/>
        </w:r>
        <w:r w:rsidR="0058307F" w:rsidRPr="006E652F">
          <w:rPr>
            <w:rFonts w:asciiTheme="minorHAnsi" w:hAnsiTheme="minorHAnsi" w:cstheme="minorHAnsi"/>
          </w:rPr>
          <w:instrText>PAGE   \* MERGEFORMAT</w:instrText>
        </w:r>
        <w:r w:rsidR="0058307F" w:rsidRPr="006E652F">
          <w:rPr>
            <w:rFonts w:asciiTheme="minorHAnsi" w:hAnsiTheme="minorHAnsi" w:cstheme="minorHAnsi"/>
          </w:rPr>
          <w:fldChar w:fldCharType="separate"/>
        </w:r>
        <w:r w:rsidR="0058307F" w:rsidRPr="006E652F">
          <w:rPr>
            <w:rFonts w:asciiTheme="minorHAnsi" w:hAnsiTheme="minorHAnsi" w:cstheme="minorHAnsi"/>
          </w:rPr>
          <w:t>2</w:t>
        </w:r>
        <w:r w:rsidR="0058307F" w:rsidRPr="006E652F">
          <w:rPr>
            <w:rFonts w:asciiTheme="minorHAnsi" w:hAnsiTheme="minorHAnsi" w:cstheme="minorHAnsi"/>
          </w:rPr>
          <w:fldChar w:fldCharType="end"/>
        </w:r>
        <w:r>
          <w:rPr>
            <w:rFonts w:asciiTheme="minorHAnsi" w:hAnsiTheme="minorHAnsi" w:cstheme="minorHAnsi"/>
          </w:rPr>
          <w:t xml:space="preserve"> </w:t>
        </w:r>
        <w:r>
          <w:rPr>
            <w:rFonts w:asciiTheme="minorHAnsi" w:hAnsiTheme="minorHAnsi" w:cstheme="minorHAnsi"/>
          </w:rPr>
          <w:tab/>
        </w:r>
        <w:r w:rsidRPr="00C45711">
          <w:rPr>
            <w:rFonts w:asciiTheme="minorHAnsi" w:hAnsiTheme="minorHAnsi" w:cstheme="minorHAnsi"/>
            <w:i/>
            <w:sz w:val="20"/>
            <w:szCs w:val="20"/>
            <w:lang w:val="en-GB"/>
          </w:rPr>
          <w:t>Ver</w:t>
        </w:r>
        <w:r w:rsidR="00C45711" w:rsidRPr="00C45711">
          <w:rPr>
            <w:rFonts w:asciiTheme="minorHAnsi" w:hAnsiTheme="minorHAnsi" w:cstheme="minorHAnsi"/>
            <w:i/>
            <w:sz w:val="20"/>
            <w:szCs w:val="20"/>
            <w:lang w:val="en-GB"/>
          </w:rPr>
          <w:t>sion</w:t>
        </w:r>
        <w:r w:rsidRPr="006E652F">
          <w:rPr>
            <w:rFonts w:asciiTheme="minorHAnsi" w:hAnsiTheme="minorHAnsi" w:cstheme="minorHAnsi"/>
            <w:i/>
            <w:sz w:val="20"/>
            <w:szCs w:val="20"/>
          </w:rPr>
          <w:t xml:space="preserve"> </w:t>
        </w:r>
        <w:r w:rsidR="005A3CC4" w:rsidRPr="006E652F">
          <w:rPr>
            <w:rFonts w:asciiTheme="minorHAnsi" w:hAnsiTheme="minorHAnsi" w:cstheme="minorHAnsi"/>
            <w:i/>
            <w:sz w:val="20"/>
            <w:szCs w:val="20"/>
          </w:rPr>
          <w:t>0</w:t>
        </w:r>
        <w:r w:rsidR="007309CC">
          <w:rPr>
            <w:rFonts w:asciiTheme="minorHAnsi" w:hAnsiTheme="minorHAnsi" w:cstheme="minorHAnsi"/>
            <w:i/>
            <w:sz w:val="20"/>
            <w:szCs w:val="20"/>
          </w:rPr>
          <w:t>1</w:t>
        </w:r>
        <w:r w:rsidR="005A3CC4" w:rsidRPr="006E652F">
          <w:rPr>
            <w:rFonts w:asciiTheme="minorHAnsi" w:hAnsiTheme="minorHAnsi" w:cstheme="minorHAnsi"/>
            <w:i/>
            <w:sz w:val="20"/>
            <w:szCs w:val="20"/>
          </w:rPr>
          <w:t xml:space="preserve"> </w:t>
        </w:r>
        <w:r w:rsidRPr="006E652F">
          <w:rPr>
            <w:rFonts w:asciiTheme="minorHAnsi" w:hAnsiTheme="minorHAnsi" w:cstheme="minorHAnsi"/>
            <w:i/>
            <w:sz w:val="20"/>
            <w:szCs w:val="20"/>
          </w:rPr>
          <w:t>(</w:t>
        </w:r>
        <w:r w:rsidR="006C3159">
          <w:rPr>
            <w:rFonts w:asciiTheme="minorHAnsi" w:hAnsiTheme="minorHAnsi" w:cstheme="minorHAnsi"/>
            <w:i/>
            <w:sz w:val="20"/>
            <w:szCs w:val="20"/>
          </w:rPr>
          <w:t>1</w:t>
        </w:r>
        <w:r w:rsidRPr="006E652F">
          <w:rPr>
            <w:rFonts w:asciiTheme="minorHAnsi" w:hAnsiTheme="minorHAnsi" w:cstheme="minorHAnsi"/>
            <w:i/>
            <w:sz w:val="20"/>
            <w:szCs w:val="20"/>
          </w:rPr>
          <w:t xml:space="preserve">. </w:t>
        </w:r>
        <w:r w:rsidR="006C3159">
          <w:rPr>
            <w:rFonts w:asciiTheme="minorHAnsi" w:hAnsiTheme="minorHAnsi" w:cstheme="minorHAnsi"/>
            <w:i/>
            <w:sz w:val="20"/>
            <w:szCs w:val="20"/>
          </w:rPr>
          <w:t>6</w:t>
        </w:r>
        <w:r w:rsidRPr="006E652F">
          <w:rPr>
            <w:rFonts w:asciiTheme="minorHAnsi" w:hAnsiTheme="minorHAnsi" w:cstheme="minorHAnsi"/>
            <w:i/>
            <w:sz w:val="20"/>
            <w:szCs w:val="20"/>
          </w:rPr>
          <w:t>. 202</w:t>
        </w:r>
        <w:r w:rsidR="006C3159">
          <w:rPr>
            <w:rFonts w:asciiTheme="minorHAnsi" w:hAnsiTheme="minorHAnsi" w:cstheme="minorHAnsi"/>
            <w:i/>
            <w:sz w:val="20"/>
            <w:szCs w:val="20"/>
          </w:rPr>
          <w:t>6</w:t>
        </w:r>
        <w:r w:rsidRPr="006E652F">
          <w:rPr>
            <w:rFonts w:asciiTheme="minorHAnsi" w:hAnsiTheme="minorHAnsi" w:cstheme="minorHAnsi"/>
            <w:i/>
            <w:sz w:val="20"/>
            <w:szCs w:val="20"/>
          </w:rPr>
          <w:t>)</w:t>
        </w:r>
      </w:p>
      <w:p w14:paraId="476568BF" w14:textId="77777777" w:rsidR="0058307F" w:rsidRPr="006E652F" w:rsidRDefault="00000000" w:rsidP="006E652F">
        <w:pPr>
          <w:pStyle w:val="Zpat"/>
          <w:tabs>
            <w:tab w:val="clear" w:pos="4536"/>
            <w:tab w:val="clear" w:pos="9072"/>
            <w:tab w:val="center" w:pos="4820"/>
            <w:tab w:val="right" w:pos="9638"/>
          </w:tabs>
          <w:rPr>
            <w:rFonts w:asciiTheme="minorHAnsi" w:hAnsiTheme="minorHAnsi" w:cstheme="minorHAnsi"/>
            <w:i/>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872B" w14:textId="77777777" w:rsidR="00180DFE" w:rsidRDefault="00180DFE" w:rsidP="002414CB">
      <w:r>
        <w:separator/>
      </w:r>
    </w:p>
  </w:footnote>
  <w:footnote w:type="continuationSeparator" w:id="0">
    <w:p w14:paraId="07D3FCCA" w14:textId="77777777" w:rsidR="00180DFE" w:rsidRDefault="00180DFE" w:rsidP="0024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024" w14:textId="38774E23" w:rsidR="002414CB" w:rsidRDefault="00C45711" w:rsidP="00D05F2A">
    <w:pPr>
      <w:pStyle w:val="Zhlav"/>
      <w:tabs>
        <w:tab w:val="clear" w:pos="4536"/>
        <w:tab w:val="clear" w:pos="9072"/>
        <w:tab w:val="center" w:pos="4820"/>
      </w:tabs>
      <w:jc w:val="center"/>
    </w:pPr>
    <w:r w:rsidRPr="008B287B">
      <w:rPr>
        <w:rFonts w:asciiTheme="minorHAnsi" w:hAnsiTheme="minorHAnsi" w:cstheme="minorHAnsi"/>
        <w:noProof/>
        <w:lang w:val="en-GB"/>
      </w:rPr>
      <w:drawing>
        <wp:inline distT="0" distB="0" distL="0" distR="0" wp14:anchorId="47D288A8" wp14:editId="72D16B45">
          <wp:extent cx="6115050" cy="1530350"/>
          <wp:effectExtent l="0" t="0" r="0" b="0"/>
          <wp:docPr id="1650074471" name="Obrázek 165007447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46766" name="Obrázek 807446766" descr="Obsah obrázku text, Písmo, snímek obrazovky, Grafika&#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050" cy="1530350"/>
                  </a:xfrm>
                  <a:prstGeom prst="rect">
                    <a:avLst/>
                  </a:prstGeom>
                  <a:noFill/>
                  <a:ln>
                    <a:noFill/>
                  </a:ln>
                </pic:spPr>
              </pic:pic>
            </a:graphicData>
          </a:graphic>
        </wp:inline>
      </w:drawing>
    </w:r>
  </w:p>
  <w:p w14:paraId="1F4D940B" w14:textId="77777777" w:rsidR="0056627F" w:rsidRDefault="0056627F" w:rsidP="00D05F2A">
    <w:pPr>
      <w:pStyle w:val="Zhlav"/>
      <w:tabs>
        <w:tab w:val="clear" w:pos="4536"/>
        <w:tab w:val="clear" w:pos="9072"/>
        <w:tab w:val="center" w:pos="48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598"/>
    <w:multiLevelType w:val="hybridMultilevel"/>
    <w:tmpl w:val="5006450A"/>
    <w:lvl w:ilvl="0" w:tplc="FFFFFFFF">
      <w:start w:val="1"/>
      <w:numFmt w:val="decimal"/>
      <w:lvlText w:val="(%1)"/>
      <w:lvlJc w:val="left"/>
      <w:pPr>
        <w:ind w:left="717" w:hanging="360"/>
      </w:pPr>
      <w:rPr>
        <w:rFonts w:ascii="Calibri" w:eastAsia="Times New Roman" w:hAnsi="Calibri" w:cs="Calibri"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1D3C3FB9"/>
    <w:multiLevelType w:val="hybridMultilevel"/>
    <w:tmpl w:val="BCE2C594"/>
    <w:lvl w:ilvl="0" w:tplc="F836C738">
      <w:start w:val="1"/>
      <w:numFmt w:val="decimal"/>
      <w:lvlText w:val="(%1)"/>
      <w:lvlJc w:val="left"/>
      <w:pPr>
        <w:ind w:left="720" w:hanging="360"/>
      </w:pPr>
      <w:rPr>
        <w:rFonts w:ascii="Calibri" w:eastAsia="Times New Roman" w:hAnsi="Calibri" w:cs="Calibri" w:hint="default"/>
      </w:rPr>
    </w:lvl>
    <w:lvl w:ilvl="1" w:tplc="6AD252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054D38"/>
    <w:multiLevelType w:val="hybridMultilevel"/>
    <w:tmpl w:val="68A88FBE"/>
    <w:lvl w:ilvl="0" w:tplc="6AD2527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904A02"/>
    <w:multiLevelType w:val="multilevel"/>
    <w:tmpl w:val="07280AC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mbria" w:eastAsia="Cambria" w:hAnsi="Cambria" w:cs="Cambri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9F632F"/>
    <w:multiLevelType w:val="hybridMultilevel"/>
    <w:tmpl w:val="9AEE1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995CFD"/>
    <w:multiLevelType w:val="hybridMultilevel"/>
    <w:tmpl w:val="28106A6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6E3F250C"/>
    <w:multiLevelType w:val="hybridMultilevel"/>
    <w:tmpl w:val="90FED4A2"/>
    <w:lvl w:ilvl="0" w:tplc="FFFFFFFF">
      <w:start w:val="1"/>
      <w:numFmt w:val="decimal"/>
      <w:lvlText w:val="(%1)"/>
      <w:lvlJc w:val="left"/>
      <w:pPr>
        <w:ind w:left="1080" w:hanging="360"/>
      </w:pPr>
      <w:rPr>
        <w:rFonts w:ascii="Calibri" w:eastAsia="Times New Roman"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A7A68DB"/>
    <w:multiLevelType w:val="hybridMultilevel"/>
    <w:tmpl w:val="0F208448"/>
    <w:lvl w:ilvl="0" w:tplc="3DC8A10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9222307">
    <w:abstractNumId w:val="1"/>
  </w:num>
  <w:num w:numId="2" w16cid:durableId="1307050400">
    <w:abstractNumId w:val="3"/>
  </w:num>
  <w:num w:numId="3" w16cid:durableId="137890404">
    <w:abstractNumId w:val="7"/>
  </w:num>
  <w:num w:numId="4" w16cid:durableId="2035569725">
    <w:abstractNumId w:val="2"/>
  </w:num>
  <w:num w:numId="5" w16cid:durableId="97530479">
    <w:abstractNumId w:val="6"/>
  </w:num>
  <w:num w:numId="6" w16cid:durableId="869269799">
    <w:abstractNumId w:val="4"/>
  </w:num>
  <w:num w:numId="7" w16cid:durableId="266159116">
    <w:abstractNumId w:val="0"/>
  </w:num>
  <w:num w:numId="8" w16cid:durableId="2009013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CB"/>
    <w:rsid w:val="0000050F"/>
    <w:rsid w:val="00057DE6"/>
    <w:rsid w:val="000A742D"/>
    <w:rsid w:val="00180DFE"/>
    <w:rsid w:val="00181018"/>
    <w:rsid w:val="001F2741"/>
    <w:rsid w:val="0023731E"/>
    <w:rsid w:val="002414CB"/>
    <w:rsid w:val="00445186"/>
    <w:rsid w:val="00445C82"/>
    <w:rsid w:val="004E3142"/>
    <w:rsid w:val="00542289"/>
    <w:rsid w:val="0056627F"/>
    <w:rsid w:val="0058307F"/>
    <w:rsid w:val="005836EA"/>
    <w:rsid w:val="005A3CC4"/>
    <w:rsid w:val="005E0FAF"/>
    <w:rsid w:val="006832FC"/>
    <w:rsid w:val="006C3159"/>
    <w:rsid w:val="006E652F"/>
    <w:rsid w:val="007309CC"/>
    <w:rsid w:val="0079372E"/>
    <w:rsid w:val="007E6DE7"/>
    <w:rsid w:val="007F6219"/>
    <w:rsid w:val="0083353F"/>
    <w:rsid w:val="008B088E"/>
    <w:rsid w:val="008D5DD9"/>
    <w:rsid w:val="008F3997"/>
    <w:rsid w:val="009B062B"/>
    <w:rsid w:val="009E1395"/>
    <w:rsid w:val="00A5690D"/>
    <w:rsid w:val="00B02BA9"/>
    <w:rsid w:val="00B46892"/>
    <w:rsid w:val="00BE0E2B"/>
    <w:rsid w:val="00C45711"/>
    <w:rsid w:val="00D05F2A"/>
    <w:rsid w:val="00EA2DEC"/>
    <w:rsid w:val="00F24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180A"/>
  <w15:chartTrackingRefBased/>
  <w15:docId w15:val="{2D8F8064-D0F0-4FE2-9375-204103E5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14C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414CB"/>
    <w:rPr>
      <w:color w:val="0000FF"/>
      <w:u w:val="single"/>
    </w:rPr>
  </w:style>
  <w:style w:type="table" w:styleId="Mkatabulky">
    <w:name w:val="Table Grid"/>
    <w:basedOn w:val="Normlntabulka"/>
    <w:uiPriority w:val="59"/>
    <w:rsid w:val="002414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rsid w:val="002414CB"/>
    <w:rPr>
      <w:sz w:val="20"/>
      <w:szCs w:val="20"/>
    </w:rPr>
  </w:style>
  <w:style w:type="character" w:customStyle="1" w:styleId="TextkomenteChar">
    <w:name w:val="Text komentáře Char"/>
    <w:basedOn w:val="Standardnpsmoodstavce"/>
    <w:link w:val="Textkomente"/>
    <w:uiPriority w:val="99"/>
    <w:rsid w:val="002414C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414CB"/>
    <w:pPr>
      <w:ind w:left="720"/>
      <w:contextualSpacing/>
    </w:pPr>
  </w:style>
  <w:style w:type="paragraph" w:styleId="Zhlav">
    <w:name w:val="header"/>
    <w:basedOn w:val="Normln"/>
    <w:link w:val="ZhlavChar"/>
    <w:uiPriority w:val="99"/>
    <w:unhideWhenUsed/>
    <w:rsid w:val="002414CB"/>
    <w:pPr>
      <w:tabs>
        <w:tab w:val="center" w:pos="4536"/>
        <w:tab w:val="right" w:pos="9072"/>
      </w:tabs>
    </w:pPr>
  </w:style>
  <w:style w:type="character" w:customStyle="1" w:styleId="ZhlavChar">
    <w:name w:val="Záhlaví Char"/>
    <w:basedOn w:val="Standardnpsmoodstavce"/>
    <w:link w:val="Zhlav"/>
    <w:uiPriority w:val="99"/>
    <w:rsid w:val="002414C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414CB"/>
    <w:pPr>
      <w:tabs>
        <w:tab w:val="center" w:pos="4536"/>
        <w:tab w:val="right" w:pos="9072"/>
      </w:tabs>
    </w:pPr>
  </w:style>
  <w:style w:type="character" w:customStyle="1" w:styleId="ZpatChar">
    <w:name w:val="Zápatí Char"/>
    <w:basedOn w:val="Standardnpsmoodstavce"/>
    <w:link w:val="Zpat"/>
    <w:uiPriority w:val="99"/>
    <w:rsid w:val="002414CB"/>
    <w:rPr>
      <w:rFonts w:ascii="Times New Roman" w:eastAsia="Times New Roman" w:hAnsi="Times New Roman" w:cs="Times New Roman"/>
      <w:sz w:val="24"/>
      <w:szCs w:val="24"/>
      <w:lang w:eastAsia="cs-CZ"/>
    </w:rPr>
  </w:style>
  <w:style w:type="paragraph" w:styleId="Revize">
    <w:name w:val="Revision"/>
    <w:hidden/>
    <w:uiPriority w:val="99"/>
    <w:semiHidden/>
    <w:rsid w:val="0044518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3879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Krejci Petr</dc:creator>
  <cp:keywords/>
  <dc:description/>
  <cp:lastModifiedBy>Petr Krejčí</cp:lastModifiedBy>
  <cp:revision>3</cp:revision>
  <dcterms:created xsi:type="dcterms:W3CDTF">2026-06-01T06:29:00Z</dcterms:created>
  <dcterms:modified xsi:type="dcterms:W3CDTF">2026-06-01T06:36:00Z</dcterms:modified>
</cp:coreProperties>
</file>